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盖志永</w:t>
      </w:r>
      <w:r>
        <w:rPr>
          <w:rFonts w:hint="eastAsia"/>
          <w:sz w:val="15"/>
          <w:szCs w:val="15"/>
          <w:highlight w:val="none"/>
        </w:rPr>
        <w:t>，</w:t>
      </w:r>
      <w:r>
        <w:rPr>
          <w:rFonts w:hint="eastAsia"/>
          <w:sz w:val="15"/>
          <w:szCs w:val="15"/>
          <w:highlight w:val="none"/>
          <w:lang w:val="en-US" w:eastAsia="zh-CN"/>
        </w:rPr>
        <w:t>130131198109200010</w:t>
      </w:r>
      <w:r>
        <w:rPr>
          <w:rFonts w:hint="eastAsia"/>
          <w:sz w:val="15"/>
          <w:szCs w:val="15"/>
        </w:rPr>
        <w:t xml:space="preserve">  </w:t>
      </w:r>
      <w:r>
        <w:rPr>
          <w:rFonts w:hint="eastAsia"/>
          <w:sz w:val="15"/>
          <w:szCs w:val="15"/>
          <w:lang w:val="en-US" w:eastAsia="zh-CN"/>
        </w:rPr>
        <w:t>冀A33249D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