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刘进波</w:t>
      </w:r>
      <w:r>
        <w:rPr>
          <w:rFonts w:hint="eastAsia"/>
          <w:sz w:val="15"/>
          <w:szCs w:val="15"/>
          <w:highlight w:val="none"/>
        </w:rPr>
        <w:t>，</w:t>
      </w:r>
      <w:r>
        <w:rPr>
          <w:rFonts w:hint="eastAsia"/>
          <w:sz w:val="15"/>
          <w:szCs w:val="15"/>
          <w:highlight w:val="none"/>
          <w:lang w:val="en-US" w:eastAsia="zh-CN"/>
        </w:rPr>
        <w:t>130131198006040034</w:t>
      </w:r>
      <w:r>
        <w:rPr>
          <w:rFonts w:hint="eastAsia"/>
          <w:sz w:val="15"/>
          <w:szCs w:val="15"/>
        </w:rPr>
        <w:t xml:space="preserve">  </w:t>
      </w:r>
      <w:r>
        <w:rPr>
          <w:rFonts w:hint="eastAsia"/>
          <w:sz w:val="15"/>
          <w:szCs w:val="15"/>
          <w:lang w:val="en-US" w:eastAsia="zh-CN"/>
        </w:rPr>
        <w:t>冀AAA965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