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康卫龙</w:t>
      </w:r>
      <w:r>
        <w:rPr>
          <w:rFonts w:hint="eastAsia"/>
          <w:sz w:val="15"/>
          <w:szCs w:val="15"/>
          <w:highlight w:val="none"/>
        </w:rPr>
        <w:t>，</w:t>
      </w:r>
      <w:r>
        <w:rPr>
          <w:rFonts w:hint="eastAsia"/>
          <w:sz w:val="15"/>
          <w:szCs w:val="15"/>
          <w:highlight w:val="none"/>
          <w:lang w:val="en-US" w:eastAsia="zh-CN"/>
        </w:rPr>
        <w:t>130131197808300016</w:t>
      </w:r>
      <w:r>
        <w:rPr>
          <w:rFonts w:hint="eastAsia"/>
          <w:sz w:val="15"/>
          <w:szCs w:val="15"/>
        </w:rPr>
        <w:t xml:space="preserve">  </w:t>
      </w:r>
      <w:r>
        <w:rPr>
          <w:rFonts w:hint="eastAsia"/>
          <w:sz w:val="15"/>
          <w:szCs w:val="15"/>
          <w:lang w:val="en-US" w:eastAsia="zh-CN"/>
        </w:rPr>
        <w:t>沪A60863D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