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卢二书</w:t>
      </w:r>
      <w:r>
        <w:rPr>
          <w:rFonts w:hint="eastAsia"/>
          <w:sz w:val="15"/>
          <w:szCs w:val="15"/>
          <w:highlight w:val="none"/>
        </w:rPr>
        <w:t>，</w:t>
      </w:r>
      <w:r>
        <w:rPr>
          <w:rFonts w:hint="eastAsia"/>
          <w:sz w:val="15"/>
          <w:szCs w:val="15"/>
          <w:highlight w:val="none"/>
          <w:lang w:val="en-US" w:eastAsia="zh-CN"/>
        </w:rPr>
        <w:t>130131197805135713</w:t>
      </w:r>
      <w:r>
        <w:rPr>
          <w:rFonts w:hint="eastAsia"/>
          <w:sz w:val="15"/>
          <w:szCs w:val="15"/>
        </w:rPr>
        <w:t xml:space="preserve">  </w:t>
      </w:r>
      <w:r>
        <w:rPr>
          <w:rFonts w:hint="eastAsia"/>
          <w:sz w:val="15"/>
          <w:szCs w:val="15"/>
          <w:lang w:val="en-US" w:eastAsia="zh-CN"/>
        </w:rPr>
        <w:t>冀AKK925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