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于明彦</w:t>
      </w:r>
      <w:r>
        <w:rPr>
          <w:rFonts w:hint="eastAsia"/>
          <w:sz w:val="15"/>
          <w:szCs w:val="15"/>
          <w:highlight w:val="none"/>
        </w:rPr>
        <w:t>，</w:t>
      </w:r>
      <w:r>
        <w:rPr>
          <w:rFonts w:hint="eastAsia"/>
          <w:sz w:val="15"/>
          <w:szCs w:val="15"/>
          <w:highlight w:val="none"/>
          <w:lang w:val="en-US" w:eastAsia="zh-CN"/>
        </w:rPr>
        <w:t>130131197405100618</w:t>
      </w:r>
      <w:r>
        <w:rPr>
          <w:rFonts w:hint="eastAsia"/>
          <w:sz w:val="15"/>
          <w:szCs w:val="15"/>
        </w:rPr>
        <w:t xml:space="preserve">  </w:t>
      </w:r>
      <w:r>
        <w:rPr>
          <w:rFonts w:hint="eastAsia"/>
          <w:sz w:val="15"/>
          <w:szCs w:val="15"/>
          <w:lang w:val="en-US" w:eastAsia="zh-CN"/>
        </w:rPr>
        <w:t>冀A08773D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