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郭玉清</w:t>
      </w:r>
      <w:r>
        <w:rPr>
          <w:rFonts w:hint="eastAsia"/>
          <w:sz w:val="15"/>
          <w:szCs w:val="15"/>
          <w:highlight w:val="none"/>
        </w:rPr>
        <w:t>，</w:t>
      </w:r>
      <w:r>
        <w:rPr>
          <w:rFonts w:hint="eastAsia"/>
          <w:sz w:val="15"/>
          <w:szCs w:val="15"/>
          <w:highlight w:val="none"/>
          <w:lang w:val="en-US" w:eastAsia="zh-CN"/>
        </w:rPr>
        <w:t>130127198312250342</w:t>
      </w:r>
      <w:r>
        <w:rPr>
          <w:rFonts w:hint="eastAsia"/>
          <w:sz w:val="15"/>
          <w:szCs w:val="15"/>
        </w:rPr>
        <w:t xml:space="preserve">  </w:t>
      </w:r>
      <w:r>
        <w:rPr>
          <w:rFonts w:hint="eastAsia"/>
          <w:sz w:val="15"/>
          <w:szCs w:val="15"/>
          <w:lang w:val="en-US" w:eastAsia="zh-CN"/>
        </w:rPr>
        <w:t>冀AJN246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