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陈佳泽</w:t>
      </w:r>
      <w:r>
        <w:rPr>
          <w:rFonts w:hint="eastAsia"/>
          <w:sz w:val="15"/>
          <w:szCs w:val="15"/>
          <w:highlight w:val="none"/>
        </w:rPr>
        <w:t>，</w:t>
      </w:r>
      <w:r>
        <w:rPr>
          <w:rFonts w:hint="eastAsia"/>
          <w:sz w:val="15"/>
          <w:szCs w:val="15"/>
          <w:highlight w:val="none"/>
          <w:lang w:val="en-US" w:eastAsia="zh-CN"/>
        </w:rPr>
        <w:t>130126200707180311</w:t>
      </w:r>
      <w:r>
        <w:rPr>
          <w:rFonts w:hint="eastAsia"/>
          <w:sz w:val="15"/>
          <w:szCs w:val="15"/>
        </w:rPr>
        <w:t xml:space="preserve">  </w:t>
      </w:r>
      <w:r>
        <w:rPr>
          <w:rFonts w:hint="eastAsia"/>
          <w:sz w:val="15"/>
          <w:szCs w:val="15"/>
          <w:lang w:val="en-US" w:eastAsia="zh-CN"/>
        </w:rPr>
        <w:t>沪A29209A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