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崔文春</w:t>
      </w:r>
      <w:r>
        <w:rPr>
          <w:rFonts w:hint="eastAsia"/>
          <w:sz w:val="15"/>
          <w:szCs w:val="15"/>
          <w:highlight w:val="none"/>
        </w:rPr>
        <w:t>，</w:t>
      </w:r>
      <w:r>
        <w:rPr>
          <w:rFonts w:hint="eastAsia"/>
          <w:sz w:val="15"/>
          <w:szCs w:val="15"/>
          <w:highlight w:val="none"/>
          <w:lang w:val="en-US" w:eastAsia="zh-CN"/>
        </w:rPr>
        <w:t>130126199412093928</w:t>
      </w:r>
      <w:r>
        <w:rPr>
          <w:rFonts w:hint="eastAsia"/>
          <w:sz w:val="15"/>
          <w:szCs w:val="15"/>
        </w:rPr>
        <w:t xml:space="preserve">  </w:t>
      </w:r>
      <w:r>
        <w:rPr>
          <w:rFonts w:hint="eastAsia"/>
          <w:sz w:val="15"/>
          <w:szCs w:val="15"/>
          <w:lang w:val="en-US" w:eastAsia="zh-CN"/>
        </w:rPr>
        <w:t>冀AU4989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