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白龙凤</w:t>
      </w:r>
      <w:r>
        <w:rPr>
          <w:rFonts w:hint="eastAsia"/>
          <w:sz w:val="15"/>
          <w:szCs w:val="15"/>
          <w:highlight w:val="none"/>
        </w:rPr>
        <w:t>，</w:t>
      </w:r>
      <w:r>
        <w:rPr>
          <w:rFonts w:hint="eastAsia"/>
          <w:sz w:val="15"/>
          <w:szCs w:val="15"/>
          <w:highlight w:val="none"/>
          <w:lang w:val="en-US" w:eastAsia="zh-CN"/>
        </w:rPr>
        <w:t>130126199312231545</w:t>
      </w:r>
      <w:r>
        <w:rPr>
          <w:rFonts w:hint="eastAsia"/>
          <w:sz w:val="15"/>
          <w:szCs w:val="15"/>
        </w:rPr>
        <w:t xml:space="preserve">  </w:t>
      </w:r>
      <w:r>
        <w:rPr>
          <w:rFonts w:hint="eastAsia"/>
          <w:sz w:val="15"/>
          <w:szCs w:val="15"/>
          <w:lang w:val="en-US" w:eastAsia="zh-CN"/>
        </w:rPr>
        <w:t>冀AM6849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