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赵成明</w:t>
      </w:r>
      <w:r>
        <w:rPr>
          <w:rFonts w:hint="eastAsia"/>
          <w:sz w:val="15"/>
          <w:szCs w:val="15"/>
          <w:highlight w:val="none"/>
        </w:rPr>
        <w:t>，</w:t>
      </w:r>
      <w:r>
        <w:rPr>
          <w:rFonts w:hint="eastAsia"/>
          <w:sz w:val="15"/>
          <w:szCs w:val="15"/>
          <w:highlight w:val="none"/>
          <w:lang w:val="en-US" w:eastAsia="zh-CN"/>
        </w:rPr>
        <w:t>130126199312010312</w:t>
      </w:r>
      <w:r>
        <w:rPr>
          <w:rFonts w:hint="eastAsia"/>
          <w:sz w:val="15"/>
          <w:szCs w:val="15"/>
        </w:rPr>
        <w:t xml:space="preserve">  </w:t>
      </w:r>
      <w:r>
        <w:rPr>
          <w:rFonts w:hint="eastAsia"/>
          <w:sz w:val="15"/>
          <w:szCs w:val="15"/>
          <w:lang w:val="en-US" w:eastAsia="zh-CN"/>
        </w:rPr>
        <w:t>冀ADZ554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