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刘进才</w:t>
      </w:r>
      <w:r>
        <w:rPr>
          <w:rFonts w:hint="eastAsia"/>
          <w:sz w:val="15"/>
          <w:szCs w:val="15"/>
          <w:highlight w:val="none"/>
        </w:rPr>
        <w:t>，</w:t>
      </w:r>
      <w:r>
        <w:rPr>
          <w:rFonts w:hint="eastAsia"/>
          <w:sz w:val="15"/>
          <w:szCs w:val="15"/>
          <w:highlight w:val="none"/>
          <w:lang w:val="en-US" w:eastAsia="zh-CN"/>
        </w:rPr>
        <w:t>130126199307200031</w:t>
      </w:r>
      <w:r>
        <w:rPr>
          <w:rFonts w:hint="eastAsia"/>
          <w:sz w:val="15"/>
          <w:szCs w:val="15"/>
        </w:rPr>
        <w:t xml:space="preserve">  </w:t>
      </w:r>
      <w:r>
        <w:rPr>
          <w:rFonts w:hint="eastAsia"/>
          <w:sz w:val="15"/>
          <w:szCs w:val="15"/>
          <w:lang w:val="en-US" w:eastAsia="zh-CN"/>
        </w:rPr>
        <w:t>冀A887AL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