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郑杨</w:t>
      </w:r>
      <w:r>
        <w:rPr>
          <w:rFonts w:hint="eastAsia"/>
          <w:sz w:val="15"/>
          <w:szCs w:val="15"/>
          <w:highlight w:val="none"/>
        </w:rPr>
        <w:t>，</w:t>
      </w:r>
      <w:r>
        <w:rPr>
          <w:rFonts w:hint="eastAsia"/>
          <w:sz w:val="15"/>
          <w:szCs w:val="15"/>
          <w:highlight w:val="none"/>
          <w:lang w:val="en-US" w:eastAsia="zh-CN"/>
        </w:rPr>
        <w:t>130126199108090378</w:t>
      </w:r>
      <w:r>
        <w:rPr>
          <w:rFonts w:hint="eastAsia"/>
          <w:sz w:val="15"/>
          <w:szCs w:val="15"/>
        </w:rPr>
        <w:t xml:space="preserve">  </w:t>
      </w:r>
      <w:r>
        <w:rPr>
          <w:rFonts w:hint="eastAsia"/>
          <w:sz w:val="15"/>
          <w:szCs w:val="15"/>
          <w:lang w:val="en-US" w:eastAsia="zh-CN"/>
        </w:rPr>
        <w:t>沪A29211A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