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刘志博</w:t>
      </w:r>
      <w:r>
        <w:rPr>
          <w:rFonts w:hint="eastAsia"/>
          <w:sz w:val="15"/>
          <w:szCs w:val="15"/>
          <w:highlight w:val="none"/>
        </w:rPr>
        <w:t>，</w:t>
      </w:r>
      <w:r>
        <w:rPr>
          <w:rFonts w:hint="eastAsia"/>
          <w:sz w:val="15"/>
          <w:szCs w:val="15"/>
          <w:highlight w:val="none"/>
          <w:lang w:val="en-US" w:eastAsia="zh-CN"/>
        </w:rPr>
        <w:t>13012619901005001X</w:t>
      </w:r>
      <w:r>
        <w:rPr>
          <w:rFonts w:hint="eastAsia"/>
          <w:sz w:val="15"/>
          <w:szCs w:val="15"/>
        </w:rPr>
        <w:t xml:space="preserve">  </w:t>
      </w:r>
      <w:r>
        <w:rPr>
          <w:rFonts w:hint="eastAsia"/>
          <w:sz w:val="15"/>
          <w:szCs w:val="15"/>
          <w:lang w:val="en-US" w:eastAsia="zh-CN"/>
        </w:rPr>
        <w:t>冀A809TE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