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杨慧丰</w:t>
      </w:r>
      <w:r>
        <w:rPr>
          <w:rFonts w:hint="eastAsia"/>
          <w:sz w:val="15"/>
          <w:szCs w:val="15"/>
          <w:highlight w:val="none"/>
        </w:rPr>
        <w:t>，</w:t>
      </w:r>
      <w:r>
        <w:rPr>
          <w:rFonts w:hint="eastAsia"/>
          <w:sz w:val="15"/>
          <w:szCs w:val="15"/>
          <w:highlight w:val="none"/>
          <w:lang w:val="en-US" w:eastAsia="zh-CN"/>
        </w:rPr>
        <w:t>130126198912180310</w:t>
      </w:r>
      <w:r>
        <w:rPr>
          <w:rFonts w:hint="eastAsia"/>
          <w:sz w:val="15"/>
          <w:szCs w:val="15"/>
        </w:rPr>
        <w:t xml:space="preserve">  </w:t>
      </w:r>
      <w:r>
        <w:rPr>
          <w:rFonts w:hint="eastAsia"/>
          <w:sz w:val="15"/>
          <w:szCs w:val="15"/>
          <w:lang w:val="en-US" w:eastAsia="zh-CN"/>
        </w:rPr>
        <w:t>冀AN3709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