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朱健彭</w:t>
      </w:r>
      <w:r>
        <w:rPr>
          <w:rFonts w:hint="eastAsia"/>
          <w:sz w:val="15"/>
          <w:szCs w:val="15"/>
          <w:highlight w:val="none"/>
        </w:rPr>
        <w:t>，</w:t>
      </w:r>
      <w:r>
        <w:rPr>
          <w:rFonts w:hint="eastAsia"/>
          <w:sz w:val="15"/>
          <w:szCs w:val="15"/>
          <w:highlight w:val="none"/>
          <w:lang w:val="en-US" w:eastAsia="zh-CN"/>
        </w:rPr>
        <w:t>130126198901043337</w:t>
      </w:r>
      <w:r>
        <w:rPr>
          <w:rFonts w:hint="eastAsia"/>
          <w:sz w:val="15"/>
          <w:szCs w:val="15"/>
        </w:rPr>
        <w:t xml:space="preserve">  </w:t>
      </w:r>
      <w:r>
        <w:rPr>
          <w:rFonts w:hint="eastAsia"/>
          <w:sz w:val="15"/>
          <w:szCs w:val="15"/>
          <w:lang w:val="en-US" w:eastAsia="zh-CN"/>
        </w:rPr>
        <w:t>冀AX8729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