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梁竹青</w:t>
      </w:r>
      <w:r>
        <w:rPr>
          <w:rFonts w:hint="eastAsia"/>
          <w:sz w:val="15"/>
          <w:szCs w:val="15"/>
          <w:highlight w:val="none"/>
        </w:rPr>
        <w:t>，</w:t>
      </w:r>
      <w:r>
        <w:rPr>
          <w:rFonts w:hint="eastAsia"/>
          <w:sz w:val="15"/>
          <w:szCs w:val="15"/>
          <w:highlight w:val="none"/>
          <w:lang w:val="en-US" w:eastAsia="zh-CN"/>
        </w:rPr>
        <w:t>130126198807052122</w:t>
      </w:r>
      <w:r>
        <w:rPr>
          <w:rFonts w:hint="eastAsia"/>
          <w:sz w:val="15"/>
          <w:szCs w:val="15"/>
        </w:rPr>
        <w:t xml:space="preserve">  </w:t>
      </w:r>
      <w:r>
        <w:rPr>
          <w:rFonts w:hint="eastAsia"/>
          <w:sz w:val="15"/>
          <w:szCs w:val="15"/>
          <w:lang w:val="en-US" w:eastAsia="zh-CN"/>
        </w:rPr>
        <w:t>冀AQ5991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