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任宾</w:t>
      </w:r>
      <w:r>
        <w:rPr>
          <w:rFonts w:hint="eastAsia"/>
          <w:sz w:val="15"/>
          <w:szCs w:val="15"/>
          <w:highlight w:val="none"/>
        </w:rPr>
        <w:t>，</w:t>
      </w:r>
      <w:r>
        <w:rPr>
          <w:rFonts w:hint="eastAsia"/>
          <w:sz w:val="15"/>
          <w:szCs w:val="15"/>
          <w:highlight w:val="none"/>
          <w:lang w:val="en-US" w:eastAsia="zh-CN"/>
        </w:rPr>
        <w:t>130126198806243015</w:t>
      </w:r>
      <w:r>
        <w:rPr>
          <w:rFonts w:hint="eastAsia"/>
          <w:sz w:val="15"/>
          <w:szCs w:val="15"/>
        </w:rPr>
        <w:t xml:space="preserve">  </w:t>
      </w:r>
      <w:r>
        <w:rPr>
          <w:rFonts w:hint="eastAsia"/>
          <w:sz w:val="15"/>
          <w:szCs w:val="15"/>
          <w:lang w:val="en-US" w:eastAsia="zh-CN"/>
        </w:rPr>
        <w:t>冀A3484F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