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李波</w:t>
      </w:r>
      <w:r>
        <w:rPr>
          <w:rFonts w:hint="eastAsia"/>
          <w:sz w:val="15"/>
          <w:szCs w:val="15"/>
          <w:highlight w:val="none"/>
        </w:rPr>
        <w:t>，</w:t>
      </w:r>
      <w:r>
        <w:rPr>
          <w:rFonts w:hint="eastAsia"/>
          <w:sz w:val="15"/>
          <w:szCs w:val="15"/>
          <w:highlight w:val="none"/>
          <w:lang w:val="en-US" w:eastAsia="zh-CN"/>
        </w:rPr>
        <w:t>130126198708173631</w:t>
      </w:r>
      <w:r>
        <w:rPr>
          <w:rFonts w:hint="eastAsia"/>
          <w:sz w:val="15"/>
          <w:szCs w:val="15"/>
        </w:rPr>
        <w:t xml:space="preserve">  </w:t>
      </w:r>
      <w:r>
        <w:rPr>
          <w:rFonts w:hint="eastAsia"/>
          <w:sz w:val="15"/>
          <w:szCs w:val="15"/>
          <w:lang w:val="en-US" w:eastAsia="zh-CN"/>
        </w:rPr>
        <w:t>冀AV7048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