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胡维永</w:t>
      </w:r>
      <w:r>
        <w:rPr>
          <w:rFonts w:hint="eastAsia"/>
          <w:sz w:val="15"/>
          <w:szCs w:val="15"/>
          <w:highlight w:val="none"/>
        </w:rPr>
        <w:t>，</w:t>
      </w:r>
      <w:r>
        <w:rPr>
          <w:rFonts w:hint="eastAsia"/>
          <w:sz w:val="15"/>
          <w:szCs w:val="15"/>
          <w:highlight w:val="none"/>
          <w:lang w:val="en-US" w:eastAsia="zh-CN"/>
        </w:rPr>
        <w:t>130126198706022733</w:t>
      </w:r>
      <w:r>
        <w:rPr>
          <w:rFonts w:hint="eastAsia"/>
          <w:sz w:val="15"/>
          <w:szCs w:val="15"/>
        </w:rPr>
        <w:t xml:space="preserve">  </w:t>
      </w:r>
      <w:r>
        <w:rPr>
          <w:rFonts w:hint="eastAsia"/>
          <w:sz w:val="15"/>
          <w:szCs w:val="15"/>
          <w:lang w:val="en-US" w:eastAsia="zh-CN"/>
        </w:rPr>
        <w:t>冀A350Y8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