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赵京</w:t>
      </w:r>
      <w:r>
        <w:rPr>
          <w:rFonts w:hint="eastAsia"/>
          <w:sz w:val="15"/>
          <w:szCs w:val="15"/>
          <w:highlight w:val="none"/>
        </w:rPr>
        <w:t>，</w:t>
      </w:r>
      <w:r>
        <w:rPr>
          <w:rFonts w:hint="eastAsia"/>
          <w:sz w:val="15"/>
          <w:szCs w:val="15"/>
          <w:highlight w:val="none"/>
          <w:lang w:val="en-US" w:eastAsia="zh-CN"/>
        </w:rPr>
        <w:t>130126198611202715</w:t>
      </w:r>
      <w:r>
        <w:rPr>
          <w:rFonts w:hint="eastAsia"/>
          <w:sz w:val="15"/>
          <w:szCs w:val="15"/>
        </w:rPr>
        <w:t xml:space="preserve">  </w:t>
      </w:r>
      <w:r>
        <w:rPr>
          <w:rFonts w:hint="eastAsia"/>
          <w:sz w:val="15"/>
          <w:szCs w:val="15"/>
          <w:lang w:val="en-US" w:eastAsia="zh-CN"/>
        </w:rPr>
        <w:t>冀A5798Y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