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安良彦</w:t>
      </w:r>
      <w:r>
        <w:rPr>
          <w:rFonts w:hint="eastAsia"/>
          <w:sz w:val="15"/>
          <w:szCs w:val="15"/>
          <w:highlight w:val="none"/>
        </w:rPr>
        <w:t>，</w:t>
      </w:r>
      <w:r>
        <w:rPr>
          <w:rFonts w:hint="eastAsia"/>
          <w:sz w:val="15"/>
          <w:szCs w:val="15"/>
          <w:highlight w:val="none"/>
          <w:lang w:val="en-US" w:eastAsia="zh-CN"/>
        </w:rPr>
        <w:t>130126198609193020</w:t>
      </w:r>
      <w:r>
        <w:rPr>
          <w:rFonts w:hint="eastAsia"/>
          <w:sz w:val="15"/>
          <w:szCs w:val="15"/>
        </w:rPr>
        <w:t xml:space="preserve">  </w:t>
      </w:r>
      <w:r>
        <w:rPr>
          <w:rFonts w:hint="eastAsia"/>
          <w:sz w:val="15"/>
          <w:szCs w:val="15"/>
          <w:lang w:val="en-US" w:eastAsia="zh-CN"/>
        </w:rPr>
        <w:t>冀ABD835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