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李雷杰</w:t>
      </w:r>
      <w:r>
        <w:rPr>
          <w:rFonts w:hint="eastAsia"/>
          <w:sz w:val="15"/>
          <w:szCs w:val="15"/>
          <w:highlight w:val="none"/>
        </w:rPr>
        <w:t>，</w:t>
      </w:r>
      <w:r>
        <w:rPr>
          <w:rFonts w:hint="eastAsia"/>
          <w:sz w:val="15"/>
          <w:szCs w:val="15"/>
          <w:highlight w:val="none"/>
          <w:lang w:val="en-US" w:eastAsia="zh-CN"/>
        </w:rPr>
        <w:t>130126198605170913</w:t>
      </w:r>
      <w:r>
        <w:rPr>
          <w:rFonts w:hint="eastAsia"/>
          <w:sz w:val="15"/>
          <w:szCs w:val="15"/>
        </w:rPr>
        <w:t xml:space="preserve">  </w:t>
      </w:r>
      <w:r>
        <w:rPr>
          <w:rFonts w:hint="eastAsia"/>
          <w:sz w:val="15"/>
          <w:szCs w:val="15"/>
          <w:lang w:val="en-US" w:eastAsia="zh-CN"/>
        </w:rPr>
        <w:t>冀A3M589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