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闫荣江</w:t>
      </w:r>
      <w:r>
        <w:rPr>
          <w:rFonts w:hint="eastAsia"/>
          <w:sz w:val="15"/>
          <w:szCs w:val="15"/>
          <w:highlight w:val="none"/>
        </w:rPr>
        <w:t>，</w:t>
      </w:r>
      <w:r>
        <w:rPr>
          <w:rFonts w:hint="eastAsia"/>
          <w:sz w:val="15"/>
          <w:szCs w:val="15"/>
          <w:highlight w:val="none"/>
          <w:lang w:val="en-US" w:eastAsia="zh-CN"/>
        </w:rPr>
        <w:t>130126198504283011</w:t>
      </w:r>
      <w:r>
        <w:rPr>
          <w:rFonts w:hint="eastAsia"/>
          <w:sz w:val="15"/>
          <w:szCs w:val="15"/>
        </w:rPr>
        <w:t xml:space="preserve">  </w:t>
      </w:r>
      <w:r>
        <w:rPr>
          <w:rFonts w:hint="eastAsia"/>
          <w:sz w:val="15"/>
          <w:szCs w:val="15"/>
          <w:lang w:val="en-US" w:eastAsia="zh-CN"/>
        </w:rPr>
        <w:t>冀A3M215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