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王英杰</w:t>
      </w:r>
      <w:r>
        <w:rPr>
          <w:rFonts w:hint="eastAsia"/>
          <w:sz w:val="15"/>
          <w:szCs w:val="15"/>
          <w:highlight w:val="none"/>
        </w:rPr>
        <w:t>，</w:t>
      </w:r>
      <w:r>
        <w:rPr>
          <w:rFonts w:hint="eastAsia"/>
          <w:sz w:val="15"/>
          <w:szCs w:val="15"/>
          <w:highlight w:val="none"/>
          <w:lang w:val="en-US" w:eastAsia="zh-CN"/>
        </w:rPr>
        <w:t>130126198503012711</w:t>
      </w:r>
      <w:r>
        <w:rPr>
          <w:rFonts w:hint="eastAsia"/>
          <w:sz w:val="15"/>
          <w:szCs w:val="15"/>
        </w:rPr>
        <w:t xml:space="preserve">  </w:t>
      </w:r>
      <w:r>
        <w:rPr>
          <w:rFonts w:hint="eastAsia"/>
          <w:sz w:val="15"/>
          <w:szCs w:val="15"/>
          <w:lang w:val="en-US" w:eastAsia="zh-CN"/>
        </w:rPr>
        <w:t>冀A45485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