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赵利宾</w:t>
      </w:r>
      <w:r>
        <w:rPr>
          <w:rFonts w:hint="eastAsia"/>
          <w:sz w:val="15"/>
          <w:szCs w:val="15"/>
          <w:highlight w:val="none"/>
        </w:rPr>
        <w:t>，</w:t>
      </w:r>
      <w:r>
        <w:rPr>
          <w:rFonts w:hint="eastAsia"/>
          <w:sz w:val="15"/>
          <w:szCs w:val="15"/>
          <w:highlight w:val="none"/>
          <w:lang w:val="en-US" w:eastAsia="zh-CN"/>
        </w:rPr>
        <w:t>130126198410090032</w:t>
      </w:r>
      <w:r>
        <w:rPr>
          <w:rFonts w:hint="eastAsia"/>
          <w:sz w:val="15"/>
          <w:szCs w:val="15"/>
        </w:rPr>
        <w:t xml:space="preserve">  </w:t>
      </w:r>
      <w:r>
        <w:rPr>
          <w:rFonts w:hint="eastAsia"/>
          <w:sz w:val="15"/>
          <w:szCs w:val="15"/>
          <w:lang w:val="en-US" w:eastAsia="zh-CN"/>
        </w:rPr>
        <w:t>冀AAP335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