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张文杰</w:t>
      </w:r>
      <w:r>
        <w:rPr>
          <w:rFonts w:hint="eastAsia"/>
          <w:sz w:val="15"/>
          <w:szCs w:val="15"/>
          <w:highlight w:val="none"/>
        </w:rPr>
        <w:t>，</w:t>
      </w:r>
      <w:r>
        <w:rPr>
          <w:rFonts w:hint="eastAsia"/>
          <w:sz w:val="15"/>
          <w:szCs w:val="15"/>
          <w:highlight w:val="none"/>
          <w:lang w:val="en-US" w:eastAsia="zh-CN"/>
        </w:rPr>
        <w:t>130126198407282711</w:t>
      </w:r>
      <w:r>
        <w:rPr>
          <w:rFonts w:hint="eastAsia"/>
          <w:sz w:val="15"/>
          <w:szCs w:val="15"/>
        </w:rPr>
        <w:t xml:space="preserve">  </w:t>
      </w:r>
      <w:r>
        <w:rPr>
          <w:rFonts w:hint="eastAsia"/>
          <w:sz w:val="15"/>
          <w:szCs w:val="15"/>
          <w:lang w:val="en-US" w:eastAsia="zh-CN"/>
        </w:rPr>
        <w:t>冀AV0555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