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赵岩峰</w:t>
      </w:r>
      <w:r>
        <w:rPr>
          <w:rFonts w:hint="eastAsia"/>
          <w:sz w:val="15"/>
          <w:szCs w:val="15"/>
          <w:highlight w:val="none"/>
        </w:rPr>
        <w:t>，</w:t>
      </w:r>
      <w:r>
        <w:rPr>
          <w:rFonts w:hint="eastAsia"/>
          <w:sz w:val="15"/>
          <w:szCs w:val="15"/>
          <w:highlight w:val="none"/>
          <w:lang w:val="en-US" w:eastAsia="zh-CN"/>
        </w:rPr>
        <w:t>130126198403032715</w:t>
      </w:r>
      <w:r>
        <w:rPr>
          <w:rFonts w:hint="eastAsia"/>
          <w:sz w:val="15"/>
          <w:szCs w:val="15"/>
        </w:rPr>
        <w:t xml:space="preserve">  </w:t>
      </w:r>
      <w:r>
        <w:rPr>
          <w:rFonts w:hint="eastAsia"/>
          <w:sz w:val="15"/>
          <w:szCs w:val="15"/>
          <w:lang w:val="en-US" w:eastAsia="zh-CN"/>
        </w:rPr>
        <w:t>冀A189AZ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