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曹利杰</w:t>
      </w:r>
      <w:r>
        <w:rPr>
          <w:rFonts w:hint="eastAsia"/>
          <w:sz w:val="15"/>
          <w:szCs w:val="15"/>
          <w:highlight w:val="none"/>
        </w:rPr>
        <w:t>，</w:t>
      </w:r>
      <w:r>
        <w:rPr>
          <w:rFonts w:hint="eastAsia"/>
          <w:sz w:val="15"/>
          <w:szCs w:val="15"/>
          <w:highlight w:val="none"/>
          <w:lang w:val="en-US" w:eastAsia="zh-CN"/>
        </w:rPr>
        <w:t>130126198402270615</w:t>
      </w:r>
      <w:r>
        <w:rPr>
          <w:rFonts w:hint="eastAsia"/>
          <w:sz w:val="15"/>
          <w:szCs w:val="15"/>
        </w:rPr>
        <w:t xml:space="preserve">  </w:t>
      </w:r>
      <w:r>
        <w:rPr>
          <w:rFonts w:hint="eastAsia"/>
          <w:sz w:val="15"/>
          <w:szCs w:val="15"/>
          <w:lang w:val="en-US" w:eastAsia="zh-CN"/>
        </w:rPr>
        <w:t>冀A66U73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