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孙杰</w:t>
      </w:r>
      <w:r>
        <w:rPr>
          <w:rFonts w:hint="eastAsia"/>
          <w:sz w:val="15"/>
          <w:szCs w:val="15"/>
          <w:highlight w:val="none"/>
        </w:rPr>
        <w:t>，</w:t>
      </w:r>
      <w:r>
        <w:rPr>
          <w:rFonts w:hint="eastAsia"/>
          <w:sz w:val="15"/>
          <w:szCs w:val="15"/>
          <w:highlight w:val="none"/>
          <w:lang w:val="en-US" w:eastAsia="zh-CN"/>
        </w:rPr>
        <w:t>130126198303193052</w:t>
      </w:r>
      <w:r>
        <w:rPr>
          <w:rFonts w:hint="eastAsia"/>
          <w:sz w:val="15"/>
          <w:szCs w:val="15"/>
        </w:rPr>
        <w:t xml:space="preserve">  </w:t>
      </w:r>
      <w:r>
        <w:rPr>
          <w:rFonts w:hint="eastAsia"/>
          <w:sz w:val="15"/>
          <w:szCs w:val="15"/>
          <w:lang w:val="en-US" w:eastAsia="zh-CN"/>
        </w:rPr>
        <w:t>冀A73345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