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杨永山</w:t>
      </w:r>
      <w:r>
        <w:rPr>
          <w:rFonts w:hint="eastAsia"/>
          <w:sz w:val="15"/>
          <w:szCs w:val="15"/>
          <w:highlight w:val="none"/>
        </w:rPr>
        <w:t>，</w:t>
      </w:r>
      <w:r>
        <w:rPr>
          <w:rFonts w:hint="eastAsia"/>
          <w:sz w:val="15"/>
          <w:szCs w:val="15"/>
          <w:highlight w:val="none"/>
          <w:lang w:val="en-US" w:eastAsia="zh-CN"/>
        </w:rPr>
        <w:t>130126198212190016</w:t>
      </w:r>
      <w:r>
        <w:rPr>
          <w:rFonts w:hint="eastAsia"/>
          <w:sz w:val="15"/>
          <w:szCs w:val="15"/>
        </w:rPr>
        <w:t xml:space="preserve">  </w:t>
      </w:r>
      <w:r>
        <w:rPr>
          <w:rFonts w:hint="eastAsia"/>
          <w:sz w:val="15"/>
          <w:szCs w:val="15"/>
          <w:lang w:val="en-US" w:eastAsia="zh-CN"/>
        </w:rPr>
        <w:t>冀AW1569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