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张海燕</w:t>
      </w:r>
      <w:r>
        <w:rPr>
          <w:rFonts w:hint="eastAsia"/>
          <w:sz w:val="15"/>
          <w:szCs w:val="15"/>
          <w:highlight w:val="none"/>
        </w:rPr>
        <w:t>，</w:t>
      </w:r>
      <w:r>
        <w:rPr>
          <w:rFonts w:hint="eastAsia"/>
          <w:sz w:val="15"/>
          <w:szCs w:val="15"/>
          <w:highlight w:val="none"/>
          <w:lang w:val="en-US" w:eastAsia="zh-CN"/>
        </w:rPr>
        <w:t>130126198209232449</w:t>
      </w:r>
      <w:r>
        <w:rPr>
          <w:rFonts w:hint="eastAsia"/>
          <w:sz w:val="15"/>
          <w:szCs w:val="15"/>
        </w:rPr>
        <w:t xml:space="preserve">  </w:t>
      </w:r>
      <w:r>
        <w:rPr>
          <w:rFonts w:hint="eastAsia"/>
          <w:sz w:val="15"/>
          <w:szCs w:val="15"/>
          <w:lang w:val="en-US" w:eastAsia="zh-CN"/>
        </w:rPr>
        <w:t>冀AV2557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