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杨勇</w:t>
      </w:r>
      <w:r>
        <w:rPr>
          <w:rFonts w:hint="eastAsia"/>
          <w:sz w:val="15"/>
          <w:szCs w:val="15"/>
          <w:highlight w:val="none"/>
        </w:rPr>
        <w:t>，</w:t>
      </w:r>
      <w:r>
        <w:rPr>
          <w:rFonts w:hint="eastAsia"/>
          <w:sz w:val="15"/>
          <w:szCs w:val="15"/>
          <w:highlight w:val="none"/>
          <w:lang w:val="en-US" w:eastAsia="zh-CN"/>
        </w:rPr>
        <w:t>130126198105100310</w:t>
      </w:r>
      <w:r>
        <w:rPr>
          <w:rFonts w:hint="eastAsia"/>
          <w:sz w:val="15"/>
          <w:szCs w:val="15"/>
        </w:rPr>
        <w:t xml:space="preserve">  </w:t>
      </w:r>
      <w:r>
        <w:rPr>
          <w:rFonts w:hint="eastAsia"/>
          <w:sz w:val="15"/>
          <w:szCs w:val="15"/>
          <w:lang w:val="en-US" w:eastAsia="zh-CN"/>
        </w:rPr>
        <w:t>冀A8470P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