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程昭暄</w:t>
      </w:r>
      <w:r>
        <w:rPr>
          <w:rFonts w:hint="eastAsia"/>
          <w:sz w:val="15"/>
          <w:szCs w:val="15"/>
          <w:highlight w:val="none"/>
        </w:rPr>
        <w:t>，</w:t>
      </w:r>
      <w:r>
        <w:rPr>
          <w:rFonts w:hint="eastAsia"/>
          <w:sz w:val="15"/>
          <w:szCs w:val="15"/>
          <w:highlight w:val="none"/>
          <w:lang w:val="en-US" w:eastAsia="zh-CN"/>
        </w:rPr>
        <w:t>130125200211088021</w:t>
      </w:r>
      <w:r>
        <w:rPr>
          <w:rFonts w:hint="eastAsia"/>
          <w:sz w:val="15"/>
          <w:szCs w:val="15"/>
        </w:rPr>
        <w:t xml:space="preserve">  </w:t>
      </w:r>
      <w:r>
        <w:rPr>
          <w:rFonts w:hint="eastAsia"/>
          <w:sz w:val="15"/>
          <w:szCs w:val="15"/>
          <w:lang w:val="en-US" w:eastAsia="zh-CN"/>
        </w:rPr>
        <w:t>冀A5468W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