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李铜</w:t>
      </w:r>
      <w:r>
        <w:rPr>
          <w:rFonts w:hint="eastAsia"/>
          <w:sz w:val="15"/>
          <w:szCs w:val="15"/>
          <w:highlight w:val="none"/>
        </w:rPr>
        <w:t>，</w:t>
      </w:r>
      <w:r>
        <w:rPr>
          <w:rFonts w:hint="eastAsia"/>
          <w:sz w:val="15"/>
          <w:szCs w:val="15"/>
          <w:highlight w:val="none"/>
          <w:lang w:val="en-US" w:eastAsia="zh-CN"/>
        </w:rPr>
        <w:t>130125199612245512</w:t>
      </w:r>
      <w:r>
        <w:rPr>
          <w:rFonts w:hint="eastAsia"/>
          <w:sz w:val="15"/>
          <w:szCs w:val="15"/>
        </w:rPr>
        <w:t xml:space="preserve">  </w:t>
      </w:r>
      <w:r>
        <w:rPr>
          <w:rFonts w:hint="eastAsia"/>
          <w:sz w:val="15"/>
          <w:szCs w:val="15"/>
          <w:lang w:val="en-US" w:eastAsia="zh-CN"/>
        </w:rPr>
        <w:t>冀A33112D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