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贾超</w:t>
      </w:r>
      <w:r>
        <w:rPr>
          <w:rFonts w:hint="eastAsia"/>
          <w:sz w:val="15"/>
          <w:szCs w:val="15"/>
          <w:highlight w:val="none"/>
        </w:rPr>
        <w:t>，</w:t>
      </w:r>
      <w:r>
        <w:rPr>
          <w:rFonts w:hint="eastAsia"/>
          <w:sz w:val="15"/>
          <w:szCs w:val="15"/>
          <w:highlight w:val="none"/>
          <w:lang w:val="en-US" w:eastAsia="zh-CN"/>
        </w:rPr>
        <w:t>130125199305058071</w:t>
      </w:r>
      <w:r>
        <w:rPr>
          <w:rFonts w:hint="eastAsia"/>
          <w:sz w:val="15"/>
          <w:szCs w:val="15"/>
        </w:rPr>
        <w:t xml:space="preserve">  </w:t>
      </w:r>
      <w:r>
        <w:rPr>
          <w:rFonts w:hint="eastAsia"/>
          <w:sz w:val="15"/>
          <w:szCs w:val="15"/>
          <w:lang w:val="en-US" w:eastAsia="zh-CN"/>
        </w:rPr>
        <w:t>冀A74H32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