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尹京龙</w:t>
      </w:r>
      <w:r>
        <w:rPr>
          <w:rFonts w:hint="eastAsia"/>
          <w:sz w:val="15"/>
          <w:szCs w:val="15"/>
          <w:highlight w:val="none"/>
        </w:rPr>
        <w:t>，</w:t>
      </w:r>
      <w:r>
        <w:rPr>
          <w:rFonts w:hint="eastAsia"/>
          <w:sz w:val="15"/>
          <w:szCs w:val="15"/>
          <w:highlight w:val="none"/>
          <w:lang w:val="en-US" w:eastAsia="zh-CN"/>
        </w:rPr>
        <w:t>130125198809125579</w:t>
      </w:r>
      <w:r>
        <w:rPr>
          <w:rFonts w:hint="eastAsia"/>
          <w:sz w:val="15"/>
          <w:szCs w:val="15"/>
        </w:rPr>
        <w:t xml:space="preserve">  </w:t>
      </w:r>
      <w:r>
        <w:rPr>
          <w:rFonts w:hint="eastAsia"/>
          <w:sz w:val="15"/>
          <w:szCs w:val="15"/>
          <w:lang w:val="en-US" w:eastAsia="zh-CN"/>
        </w:rPr>
        <w:t>冀A005SY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