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易春辉</w:t>
      </w:r>
      <w:r>
        <w:rPr>
          <w:rFonts w:hint="eastAsia"/>
          <w:sz w:val="15"/>
          <w:szCs w:val="15"/>
          <w:highlight w:val="none"/>
        </w:rPr>
        <w:t>，</w:t>
      </w:r>
      <w:r>
        <w:rPr>
          <w:rFonts w:hint="eastAsia"/>
          <w:sz w:val="15"/>
          <w:szCs w:val="15"/>
          <w:highlight w:val="none"/>
          <w:lang w:val="en-US" w:eastAsia="zh-CN"/>
        </w:rPr>
        <w:t>130125198703087535</w:t>
      </w:r>
      <w:r>
        <w:rPr>
          <w:rFonts w:hint="eastAsia"/>
          <w:sz w:val="15"/>
          <w:szCs w:val="15"/>
        </w:rPr>
        <w:t xml:space="preserve">  </w:t>
      </w:r>
      <w:r>
        <w:rPr>
          <w:rFonts w:hint="eastAsia"/>
          <w:sz w:val="15"/>
          <w:szCs w:val="15"/>
          <w:lang w:val="en-US" w:eastAsia="zh-CN"/>
        </w:rPr>
        <w:t>冀ATA180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