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姜靖</w:t>
      </w:r>
      <w:r>
        <w:rPr>
          <w:rFonts w:hint="eastAsia"/>
          <w:sz w:val="15"/>
          <w:szCs w:val="15"/>
          <w:highlight w:val="none"/>
        </w:rPr>
        <w:t>，</w:t>
      </w:r>
      <w:r>
        <w:rPr>
          <w:rFonts w:hint="eastAsia"/>
          <w:sz w:val="15"/>
          <w:szCs w:val="15"/>
          <w:highlight w:val="none"/>
          <w:lang w:val="en-US" w:eastAsia="zh-CN"/>
        </w:rPr>
        <w:t>130125198607230047</w:t>
      </w:r>
      <w:r>
        <w:rPr>
          <w:rFonts w:hint="eastAsia"/>
          <w:sz w:val="15"/>
          <w:szCs w:val="15"/>
        </w:rPr>
        <w:t xml:space="preserve">  </w:t>
      </w:r>
      <w:r>
        <w:rPr>
          <w:rFonts w:hint="eastAsia"/>
          <w:sz w:val="15"/>
          <w:szCs w:val="15"/>
          <w:lang w:val="en-US" w:eastAsia="zh-CN"/>
        </w:rPr>
        <w:t>冀A9542J</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