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樊晶晶</w:t>
      </w:r>
      <w:r>
        <w:rPr>
          <w:rFonts w:hint="eastAsia"/>
          <w:sz w:val="15"/>
          <w:szCs w:val="15"/>
          <w:highlight w:val="none"/>
        </w:rPr>
        <w:t>，</w:t>
      </w:r>
      <w:r>
        <w:rPr>
          <w:rFonts w:hint="eastAsia"/>
          <w:sz w:val="15"/>
          <w:szCs w:val="15"/>
          <w:highlight w:val="none"/>
          <w:lang w:val="en-US" w:eastAsia="zh-CN"/>
        </w:rPr>
        <w:t>130125198604010022</w:t>
      </w:r>
      <w:r>
        <w:rPr>
          <w:rFonts w:hint="eastAsia"/>
          <w:sz w:val="15"/>
          <w:szCs w:val="15"/>
        </w:rPr>
        <w:t xml:space="preserve">  </w:t>
      </w:r>
      <w:r>
        <w:rPr>
          <w:rFonts w:hint="eastAsia"/>
          <w:sz w:val="15"/>
          <w:szCs w:val="15"/>
          <w:lang w:val="en-US" w:eastAsia="zh-CN"/>
        </w:rPr>
        <w:t>冀A285AC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