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王丽</w:t>
      </w:r>
      <w:r>
        <w:rPr>
          <w:rFonts w:hint="eastAsia"/>
          <w:sz w:val="15"/>
          <w:szCs w:val="15"/>
          <w:highlight w:val="none"/>
        </w:rPr>
        <w:t>，</w:t>
      </w:r>
      <w:r>
        <w:rPr>
          <w:rFonts w:hint="eastAsia"/>
          <w:sz w:val="15"/>
          <w:szCs w:val="15"/>
          <w:highlight w:val="none"/>
          <w:lang w:val="en-US" w:eastAsia="zh-CN"/>
        </w:rPr>
        <w:t>130125198410133024</w:t>
      </w:r>
      <w:r>
        <w:rPr>
          <w:rFonts w:hint="eastAsia"/>
          <w:sz w:val="15"/>
          <w:szCs w:val="15"/>
        </w:rPr>
        <w:t xml:space="preserve">  </w:t>
      </w:r>
      <w:r>
        <w:rPr>
          <w:rFonts w:hint="eastAsia"/>
          <w:sz w:val="15"/>
          <w:szCs w:val="15"/>
          <w:lang w:val="en-US" w:eastAsia="zh-CN"/>
        </w:rPr>
        <w:t>冀A962MC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