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郑圆园</w:t>
      </w:r>
      <w:r>
        <w:rPr>
          <w:rFonts w:hint="eastAsia"/>
          <w:sz w:val="15"/>
          <w:szCs w:val="15"/>
          <w:highlight w:val="none"/>
        </w:rPr>
        <w:t>，</w:t>
      </w:r>
      <w:r>
        <w:rPr>
          <w:rFonts w:hint="eastAsia"/>
          <w:sz w:val="15"/>
          <w:szCs w:val="15"/>
          <w:highlight w:val="none"/>
          <w:lang w:val="en-US" w:eastAsia="zh-CN"/>
        </w:rPr>
        <w:t>130125198410014543</w:t>
      </w:r>
      <w:r>
        <w:rPr>
          <w:rFonts w:hint="eastAsia"/>
          <w:sz w:val="15"/>
          <w:szCs w:val="15"/>
        </w:rPr>
        <w:t xml:space="preserve">  </w:t>
      </w:r>
      <w:r>
        <w:rPr>
          <w:rFonts w:hint="eastAsia"/>
          <w:sz w:val="15"/>
          <w:szCs w:val="15"/>
          <w:lang w:val="en-US" w:eastAsia="zh-CN"/>
        </w:rPr>
        <w:t>冀A791AJ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