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高天振</w:t>
      </w:r>
      <w:r>
        <w:rPr>
          <w:rFonts w:hint="eastAsia"/>
          <w:sz w:val="15"/>
          <w:szCs w:val="15"/>
          <w:highlight w:val="none"/>
        </w:rPr>
        <w:t>，</w:t>
      </w:r>
      <w:r>
        <w:rPr>
          <w:rFonts w:hint="eastAsia"/>
          <w:sz w:val="15"/>
          <w:szCs w:val="15"/>
          <w:highlight w:val="none"/>
          <w:lang w:val="en-US" w:eastAsia="zh-CN"/>
        </w:rPr>
        <w:t>130125198407153032</w:t>
      </w:r>
      <w:r>
        <w:rPr>
          <w:rFonts w:hint="eastAsia"/>
          <w:sz w:val="15"/>
          <w:szCs w:val="15"/>
        </w:rPr>
        <w:t xml:space="preserve">  </w:t>
      </w:r>
      <w:r>
        <w:rPr>
          <w:rFonts w:hint="eastAsia"/>
          <w:sz w:val="15"/>
          <w:szCs w:val="15"/>
          <w:lang w:val="en-US" w:eastAsia="zh-CN"/>
        </w:rPr>
        <w:t>沪A95736D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