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盛卫江</w:t>
      </w:r>
      <w:r>
        <w:rPr>
          <w:rFonts w:hint="eastAsia"/>
          <w:sz w:val="15"/>
          <w:szCs w:val="15"/>
          <w:highlight w:val="none"/>
        </w:rPr>
        <w:t>，</w:t>
      </w:r>
      <w:r>
        <w:rPr>
          <w:rFonts w:hint="eastAsia"/>
          <w:sz w:val="15"/>
          <w:szCs w:val="15"/>
          <w:highlight w:val="none"/>
          <w:lang w:val="en-US" w:eastAsia="zh-CN"/>
        </w:rPr>
        <w:t>130125198011138514</w:t>
      </w:r>
      <w:r>
        <w:rPr>
          <w:rFonts w:hint="eastAsia"/>
          <w:sz w:val="15"/>
          <w:szCs w:val="15"/>
        </w:rPr>
        <w:t xml:space="preserve">  </w:t>
      </w:r>
      <w:r>
        <w:rPr>
          <w:rFonts w:hint="eastAsia"/>
          <w:sz w:val="15"/>
          <w:szCs w:val="15"/>
          <w:lang w:val="en-US" w:eastAsia="zh-CN"/>
        </w:rPr>
        <w:t>冀ADU775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