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郭士栋</w:t>
      </w:r>
      <w:r>
        <w:rPr>
          <w:rFonts w:hint="eastAsia"/>
          <w:sz w:val="15"/>
          <w:szCs w:val="15"/>
          <w:highlight w:val="none"/>
        </w:rPr>
        <w:t>，</w:t>
      </w:r>
      <w:r>
        <w:rPr>
          <w:rFonts w:hint="eastAsia"/>
          <w:sz w:val="15"/>
          <w:szCs w:val="15"/>
          <w:highlight w:val="none"/>
          <w:lang w:val="en-US" w:eastAsia="zh-CN"/>
        </w:rPr>
        <w:t>130123198810192733</w:t>
      </w:r>
      <w:r>
        <w:rPr>
          <w:rFonts w:hint="eastAsia"/>
          <w:sz w:val="15"/>
          <w:szCs w:val="15"/>
        </w:rPr>
        <w:t xml:space="preserve">  </w:t>
      </w:r>
      <w:r>
        <w:rPr>
          <w:rFonts w:hint="eastAsia"/>
          <w:sz w:val="15"/>
          <w:szCs w:val="15"/>
          <w:lang w:val="en-US" w:eastAsia="zh-CN"/>
        </w:rPr>
        <w:t>冀A874AY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