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张志春</w:t>
      </w:r>
      <w:r>
        <w:rPr>
          <w:rFonts w:hint="eastAsia"/>
          <w:sz w:val="15"/>
          <w:szCs w:val="15"/>
          <w:highlight w:val="none"/>
        </w:rPr>
        <w:t>，</w:t>
      </w:r>
      <w:r>
        <w:rPr>
          <w:rFonts w:hint="eastAsia"/>
          <w:sz w:val="15"/>
          <w:szCs w:val="15"/>
          <w:highlight w:val="none"/>
          <w:lang w:val="en-US" w:eastAsia="zh-CN"/>
        </w:rPr>
        <w:t>130123198701070155</w:t>
      </w:r>
      <w:r>
        <w:rPr>
          <w:rFonts w:hint="eastAsia"/>
          <w:sz w:val="15"/>
          <w:szCs w:val="15"/>
        </w:rPr>
        <w:t xml:space="preserve">  </w:t>
      </w:r>
      <w:r>
        <w:rPr>
          <w:rFonts w:hint="eastAsia"/>
          <w:sz w:val="15"/>
          <w:szCs w:val="15"/>
          <w:lang w:val="en-US" w:eastAsia="zh-CN"/>
        </w:rPr>
        <w:t>沪A88770D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