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韩闪闪</w:t>
      </w:r>
      <w:r>
        <w:rPr>
          <w:rFonts w:hint="eastAsia"/>
          <w:sz w:val="15"/>
          <w:szCs w:val="15"/>
          <w:highlight w:val="none"/>
        </w:rPr>
        <w:t>，</w:t>
      </w:r>
      <w:r>
        <w:rPr>
          <w:rFonts w:hint="eastAsia"/>
          <w:sz w:val="15"/>
          <w:szCs w:val="15"/>
          <w:highlight w:val="none"/>
          <w:lang w:val="en-US" w:eastAsia="zh-CN"/>
        </w:rPr>
        <w:t>130123198411024513</w:t>
      </w:r>
      <w:r>
        <w:rPr>
          <w:rFonts w:hint="eastAsia"/>
          <w:sz w:val="15"/>
          <w:szCs w:val="15"/>
        </w:rPr>
        <w:t xml:space="preserve">  </w:t>
      </w:r>
      <w:r>
        <w:rPr>
          <w:rFonts w:hint="eastAsia"/>
          <w:sz w:val="15"/>
          <w:szCs w:val="15"/>
          <w:lang w:val="en-US" w:eastAsia="zh-CN"/>
        </w:rPr>
        <w:t>冀A87P08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