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刘会霞</w:t>
      </w:r>
      <w:r>
        <w:rPr>
          <w:rFonts w:hint="eastAsia"/>
          <w:sz w:val="15"/>
          <w:szCs w:val="15"/>
          <w:highlight w:val="none"/>
        </w:rPr>
        <w:t>，</w:t>
      </w:r>
      <w:r>
        <w:rPr>
          <w:rFonts w:hint="eastAsia"/>
          <w:sz w:val="15"/>
          <w:szCs w:val="15"/>
          <w:highlight w:val="none"/>
          <w:lang w:val="en-US" w:eastAsia="zh-CN"/>
        </w:rPr>
        <w:t>13012319830201392X</w:t>
      </w:r>
      <w:r>
        <w:rPr>
          <w:rFonts w:hint="eastAsia"/>
          <w:sz w:val="15"/>
          <w:szCs w:val="15"/>
        </w:rPr>
        <w:t xml:space="preserve">  </w:t>
      </w:r>
      <w:r>
        <w:rPr>
          <w:rFonts w:hint="eastAsia"/>
          <w:sz w:val="15"/>
          <w:szCs w:val="15"/>
          <w:lang w:val="en-US" w:eastAsia="zh-CN"/>
        </w:rPr>
        <w:t>冀APW159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