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王永朋</w:t>
      </w:r>
      <w:r>
        <w:rPr>
          <w:rFonts w:hint="eastAsia"/>
          <w:sz w:val="15"/>
          <w:szCs w:val="15"/>
          <w:highlight w:val="none"/>
        </w:rPr>
        <w:t>，</w:t>
      </w:r>
      <w:r>
        <w:rPr>
          <w:rFonts w:hint="eastAsia"/>
          <w:sz w:val="15"/>
          <w:szCs w:val="15"/>
          <w:highlight w:val="none"/>
          <w:lang w:val="en-US" w:eastAsia="zh-CN"/>
        </w:rPr>
        <w:t>130123198109163694</w:t>
      </w:r>
      <w:r>
        <w:rPr>
          <w:rFonts w:hint="eastAsia"/>
          <w:sz w:val="15"/>
          <w:szCs w:val="15"/>
        </w:rPr>
        <w:t xml:space="preserve">  </w:t>
      </w:r>
      <w:r>
        <w:rPr>
          <w:rFonts w:hint="eastAsia"/>
          <w:sz w:val="15"/>
          <w:szCs w:val="15"/>
          <w:lang w:val="en-US" w:eastAsia="zh-CN"/>
        </w:rPr>
        <w:t>冀A479XF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