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时杭洲</w:t>
      </w:r>
      <w:r>
        <w:rPr>
          <w:rFonts w:hint="eastAsia"/>
          <w:sz w:val="15"/>
          <w:szCs w:val="15"/>
          <w:highlight w:val="none"/>
        </w:rPr>
        <w:t>，</w:t>
      </w:r>
      <w:r>
        <w:rPr>
          <w:rFonts w:hint="eastAsia"/>
          <w:sz w:val="15"/>
          <w:szCs w:val="15"/>
          <w:highlight w:val="none"/>
          <w:lang w:val="en-US" w:eastAsia="zh-CN"/>
        </w:rPr>
        <w:t>130123197903217253</w:t>
      </w:r>
      <w:r>
        <w:rPr>
          <w:rFonts w:hint="eastAsia"/>
          <w:sz w:val="15"/>
          <w:szCs w:val="15"/>
        </w:rPr>
        <w:t xml:space="preserve">  </w:t>
      </w:r>
      <w:r>
        <w:rPr>
          <w:rFonts w:hint="eastAsia"/>
          <w:sz w:val="15"/>
          <w:szCs w:val="15"/>
          <w:lang w:val="en-US" w:eastAsia="zh-CN"/>
        </w:rPr>
        <w:t>冀A44342D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