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陈明军</w:t>
      </w:r>
      <w:r>
        <w:rPr>
          <w:rFonts w:hint="eastAsia"/>
          <w:sz w:val="15"/>
          <w:szCs w:val="15"/>
          <w:highlight w:val="none"/>
        </w:rPr>
        <w:t>，</w:t>
      </w:r>
      <w:r>
        <w:rPr>
          <w:rFonts w:hint="eastAsia"/>
          <w:sz w:val="15"/>
          <w:szCs w:val="15"/>
          <w:highlight w:val="none"/>
          <w:lang w:val="en-US" w:eastAsia="zh-CN"/>
        </w:rPr>
        <w:t>130123197806270917</w:t>
      </w:r>
      <w:r>
        <w:rPr>
          <w:rFonts w:hint="eastAsia"/>
          <w:sz w:val="15"/>
          <w:szCs w:val="15"/>
        </w:rPr>
        <w:t xml:space="preserve">  </w:t>
      </w:r>
      <w:r>
        <w:rPr>
          <w:rFonts w:hint="eastAsia"/>
          <w:sz w:val="15"/>
          <w:szCs w:val="15"/>
          <w:lang w:val="en-US" w:eastAsia="zh-CN"/>
        </w:rPr>
        <w:t>冀A111YG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